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570517">
        <w:rPr>
          <w:rFonts w:ascii="Times New Roman" w:hAnsi="Times New Roman"/>
          <w:b/>
          <w:sz w:val="28"/>
          <w:szCs w:val="28"/>
        </w:rPr>
        <w:t>dukacyjne z religii dla klasy 2C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862B7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570517"/>
    <w:rsid w:val="00645DD5"/>
    <w:rsid w:val="00703A67"/>
    <w:rsid w:val="007140E6"/>
    <w:rsid w:val="00754061"/>
    <w:rsid w:val="007964D7"/>
    <w:rsid w:val="007C0024"/>
    <w:rsid w:val="007E074C"/>
    <w:rsid w:val="007F1AE9"/>
    <w:rsid w:val="008F5765"/>
    <w:rsid w:val="009749A9"/>
    <w:rsid w:val="009850C4"/>
    <w:rsid w:val="009E6491"/>
    <w:rsid w:val="00AA50CE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12</cp:revision>
  <dcterms:created xsi:type="dcterms:W3CDTF">2025-08-25T07:18:00Z</dcterms:created>
  <dcterms:modified xsi:type="dcterms:W3CDTF">2025-09-02T13:17:00Z</dcterms:modified>
</cp:coreProperties>
</file>